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E6A" w:rsidRPr="00DF4E6A" w:rsidRDefault="00DF4E6A" w:rsidP="00DF4E6A">
      <w:pPr>
        <w:ind w:firstLineChars="200" w:firstLine="643"/>
        <w:jc w:val="center"/>
        <w:rPr>
          <w:rFonts w:asciiTheme="minorEastAsia" w:hAnsiTheme="minorEastAsia" w:hint="eastAsia"/>
          <w:b/>
          <w:sz w:val="32"/>
          <w:szCs w:val="32"/>
        </w:rPr>
      </w:pPr>
      <w:r w:rsidRPr="00DF4E6A">
        <w:rPr>
          <w:rFonts w:asciiTheme="minorEastAsia" w:hAnsiTheme="minorEastAsia" w:hint="eastAsia"/>
          <w:b/>
          <w:sz w:val="32"/>
          <w:szCs w:val="32"/>
        </w:rPr>
        <w:t>天津津南村镇银行落实稳经济一揽子措施明白纸</w:t>
      </w:r>
    </w:p>
    <w:p w:rsidR="00DF4E6A" w:rsidRPr="0012325C" w:rsidRDefault="00DF4E6A" w:rsidP="0012325C">
      <w:pPr>
        <w:spacing w:line="560" w:lineRule="exact"/>
        <w:ind w:firstLineChars="200" w:firstLine="480"/>
        <w:jc w:val="left"/>
        <w:rPr>
          <w:rFonts w:asciiTheme="minorEastAsia" w:hAnsiTheme="minorEastAsia" w:hint="eastAsia"/>
          <w:sz w:val="24"/>
          <w:szCs w:val="32"/>
        </w:rPr>
      </w:pPr>
      <w:r w:rsidRPr="0012325C">
        <w:rPr>
          <w:rFonts w:asciiTheme="minorEastAsia" w:hAnsiTheme="minorEastAsia" w:hint="eastAsia"/>
          <w:sz w:val="24"/>
          <w:szCs w:val="32"/>
        </w:rPr>
        <w:t>为全面落实《天津市人民政府关于印发天津市贯彻落实&lt;扎实稳住经济的一揽子政策措施&gt;实施方案的通知》（津政发[2022]12号，以下简称“天津市35条”）、津南区落实〈天津市贯彻落实《扎实稳住经济的一揽子政策措施》实施方案〉具体举措和任务清单、监管部门、及发起行出台的相关政策措施，结合我行工作实际，特制定天津津南村镇银行贯彻稳经济一找子政策，请各部门、各支行组织全员认真学习。</w:t>
      </w:r>
    </w:p>
    <w:p w:rsidR="00DF4E6A" w:rsidRPr="0012325C" w:rsidRDefault="00DF4E6A" w:rsidP="0012325C">
      <w:pPr>
        <w:spacing w:line="560" w:lineRule="exact"/>
        <w:ind w:firstLineChars="200" w:firstLine="482"/>
        <w:jc w:val="left"/>
        <w:rPr>
          <w:rFonts w:asciiTheme="minorEastAsia" w:hAnsiTheme="minorEastAsia"/>
          <w:b/>
          <w:sz w:val="24"/>
          <w:szCs w:val="32"/>
        </w:rPr>
      </w:pPr>
      <w:r w:rsidRPr="0012325C">
        <w:rPr>
          <w:rFonts w:asciiTheme="minorEastAsia" w:hAnsiTheme="minorEastAsia" w:hint="eastAsia"/>
          <w:b/>
          <w:sz w:val="24"/>
          <w:szCs w:val="32"/>
        </w:rPr>
        <w:t>一、保持信贷稳定增长</w:t>
      </w:r>
    </w:p>
    <w:p w:rsidR="00DF4E6A" w:rsidRPr="0012325C" w:rsidRDefault="00DF4E6A"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1. 聚焦津南区重点领域，提升服务实体经济水平。</w:t>
      </w:r>
    </w:p>
    <w:p w:rsidR="00DF4E6A" w:rsidRPr="0012325C" w:rsidRDefault="00DF4E6A" w:rsidP="0012325C">
      <w:pPr>
        <w:spacing w:line="560" w:lineRule="exact"/>
        <w:ind w:firstLineChars="200" w:firstLine="480"/>
        <w:jc w:val="left"/>
        <w:rPr>
          <w:rFonts w:asciiTheme="minorEastAsia" w:hAnsiTheme="minorEastAsia" w:hint="eastAsia"/>
          <w:sz w:val="24"/>
          <w:szCs w:val="32"/>
        </w:rPr>
      </w:pPr>
      <w:r w:rsidRPr="0012325C">
        <w:rPr>
          <w:rFonts w:asciiTheme="minorEastAsia" w:hAnsiTheme="minorEastAsia" w:hint="eastAsia"/>
          <w:sz w:val="24"/>
          <w:szCs w:val="32"/>
        </w:rPr>
        <w:t>2. 坚守市场定位，提升服务于三农和中小微能力。充分运用各类货币政策工具，加强与政府部门沟通，建立重点项目、支柱产业、重点行业信贷需求信息共享机制，加大政策和产品宣传力度。</w:t>
      </w:r>
    </w:p>
    <w:p w:rsidR="00DF4E6A" w:rsidRPr="0012325C" w:rsidRDefault="00DF4E6A" w:rsidP="0012325C">
      <w:pPr>
        <w:spacing w:line="560" w:lineRule="exact"/>
        <w:ind w:firstLineChars="200" w:firstLine="480"/>
        <w:jc w:val="left"/>
        <w:rPr>
          <w:rFonts w:asciiTheme="minorEastAsia" w:hAnsiTheme="minorEastAsia" w:hint="eastAsia"/>
          <w:sz w:val="24"/>
          <w:szCs w:val="32"/>
        </w:rPr>
      </w:pPr>
      <w:r w:rsidRPr="0012325C">
        <w:rPr>
          <w:rFonts w:asciiTheme="minorEastAsia" w:hAnsiTheme="minorEastAsia" w:hint="eastAsia"/>
          <w:sz w:val="24"/>
          <w:szCs w:val="32"/>
        </w:rPr>
        <w:t>3.加快数字化转型，提升金融服务品质。</w:t>
      </w:r>
    </w:p>
    <w:p w:rsidR="00DF4E6A" w:rsidRPr="0012325C" w:rsidRDefault="00DF4E6A" w:rsidP="0012325C">
      <w:pPr>
        <w:spacing w:line="560" w:lineRule="exact"/>
        <w:ind w:firstLineChars="200" w:firstLine="482"/>
        <w:jc w:val="left"/>
        <w:rPr>
          <w:rFonts w:asciiTheme="minorEastAsia" w:hAnsiTheme="minorEastAsia" w:hint="eastAsia"/>
          <w:b/>
          <w:sz w:val="24"/>
          <w:szCs w:val="32"/>
        </w:rPr>
      </w:pPr>
      <w:r w:rsidRPr="0012325C">
        <w:rPr>
          <w:rFonts w:asciiTheme="minorEastAsia" w:hAnsiTheme="minorEastAsia" w:hint="eastAsia"/>
          <w:b/>
          <w:sz w:val="24"/>
          <w:szCs w:val="32"/>
        </w:rPr>
        <w:t>二、落实助企纾困政策方面</w:t>
      </w:r>
    </w:p>
    <w:p w:rsidR="00DF4E6A" w:rsidRPr="0012325C" w:rsidRDefault="00DF4E6A" w:rsidP="0012325C">
      <w:pPr>
        <w:spacing w:line="560" w:lineRule="exact"/>
        <w:ind w:firstLineChars="200" w:firstLine="480"/>
        <w:jc w:val="left"/>
        <w:rPr>
          <w:rFonts w:asciiTheme="minorEastAsia" w:hAnsiTheme="minorEastAsia" w:hint="eastAsia"/>
          <w:sz w:val="24"/>
          <w:szCs w:val="32"/>
        </w:rPr>
      </w:pPr>
      <w:r w:rsidRPr="0012325C">
        <w:rPr>
          <w:rFonts w:asciiTheme="minorEastAsia" w:hAnsiTheme="minorEastAsia" w:hint="eastAsia"/>
          <w:sz w:val="24"/>
          <w:szCs w:val="32"/>
        </w:rPr>
        <w:t>（一）落实延期还本付息至年末的监管政策要求，对中小微企业和个体工商户贷款、暂时遇困个人房贷、消费贷，以及交通运输、食宿餐饮、批发零售、文化旅游等受疫情持续影响较大的存量客户，不断贷、不抽贷，通过合理延后还款时间、延长贷款期限，延期还本等给予客户纾困解难：坚持实质性风险判断，不因疫情因素下调贷款分类，对符合征信修复政策要求的业务逾期记录及时进行维护调整，避免对客户征信信息的使用造成影响。</w:t>
      </w:r>
    </w:p>
    <w:p w:rsidR="00DF4E6A" w:rsidRPr="0012325C" w:rsidRDefault="00DF4E6A" w:rsidP="0012325C">
      <w:pPr>
        <w:spacing w:line="560" w:lineRule="exact"/>
        <w:ind w:firstLineChars="200" w:firstLine="560"/>
        <w:jc w:val="left"/>
        <w:rPr>
          <w:rFonts w:ascii="楷体" w:eastAsia="楷体" w:hAnsi="楷体" w:hint="eastAsia"/>
          <w:sz w:val="24"/>
          <w:szCs w:val="32"/>
        </w:rPr>
      </w:pPr>
      <w:r w:rsidRPr="0012325C">
        <w:rPr>
          <w:rFonts w:ascii="楷体" w:eastAsia="楷体" w:hAnsi="楷体" w:hint="eastAsia"/>
          <w:sz w:val="28"/>
          <w:szCs w:val="32"/>
        </w:rPr>
        <w:t>延期政策流程为：贷款到期前需提前15天与客户沟通还款事宜，如客户提出延期还本</w:t>
      </w:r>
      <w:r w:rsidR="002C7614" w:rsidRPr="0012325C">
        <w:rPr>
          <w:rFonts w:ascii="楷体" w:eastAsia="楷体" w:hAnsi="楷体" w:hint="eastAsia"/>
          <w:sz w:val="28"/>
          <w:szCs w:val="32"/>
        </w:rPr>
        <w:t>付</w:t>
      </w:r>
      <w:r w:rsidRPr="0012325C">
        <w:rPr>
          <w:rFonts w:ascii="楷体" w:eastAsia="楷体" w:hAnsi="楷体" w:hint="eastAsia"/>
          <w:sz w:val="28"/>
          <w:szCs w:val="32"/>
        </w:rPr>
        <w:t>息申请，根据商业原则保持有效担保安排或提供替代安排的，为客户办理延期还本付息。对于能够通过我行展期、调整还款计划系统模块进行延期还本付息的贷款业务，</w:t>
      </w:r>
      <w:r w:rsidR="002C7614" w:rsidRPr="0012325C">
        <w:rPr>
          <w:rFonts w:ascii="楷体" w:eastAsia="楷体" w:hAnsi="楷体" w:hint="eastAsia"/>
          <w:sz w:val="28"/>
          <w:szCs w:val="32"/>
        </w:rPr>
        <w:t>将客户填写的</w:t>
      </w:r>
      <w:r w:rsidR="002C7614" w:rsidRPr="0012325C">
        <w:rPr>
          <w:rFonts w:ascii="楷体" w:eastAsia="楷体" w:hAnsi="楷体" w:hint="eastAsia"/>
          <w:sz w:val="28"/>
          <w:szCs w:val="32"/>
        </w:rPr>
        <w:lastRenderedPageBreak/>
        <w:t>延期还本付息申请书以及经有权审批人签字的延期还本付息审批表提交风险管理部，各部门、</w:t>
      </w:r>
      <w:r w:rsidRPr="0012325C">
        <w:rPr>
          <w:rFonts w:ascii="楷体" w:eastAsia="楷体" w:hAnsi="楷体" w:hint="eastAsia"/>
          <w:sz w:val="28"/>
          <w:szCs w:val="32"/>
        </w:rPr>
        <w:t>支行自行操作系统办理：</w:t>
      </w:r>
      <w:r w:rsidR="002C7614" w:rsidRPr="0012325C">
        <w:rPr>
          <w:rFonts w:ascii="楷体" w:eastAsia="楷体" w:hAnsi="楷体" w:hint="eastAsia"/>
          <w:sz w:val="28"/>
          <w:szCs w:val="32"/>
        </w:rPr>
        <w:t>对于需要调整</w:t>
      </w:r>
      <w:r w:rsidRPr="0012325C">
        <w:rPr>
          <w:rFonts w:ascii="楷体" w:eastAsia="楷体" w:hAnsi="楷体" w:hint="eastAsia"/>
          <w:sz w:val="28"/>
          <w:szCs w:val="32"/>
        </w:rPr>
        <w:t>征信</w:t>
      </w:r>
      <w:r w:rsidR="002C7614" w:rsidRPr="0012325C">
        <w:rPr>
          <w:rFonts w:ascii="楷体" w:eastAsia="楷体" w:hAnsi="楷体" w:hint="eastAsia"/>
          <w:sz w:val="28"/>
          <w:szCs w:val="32"/>
        </w:rPr>
        <w:t>的，各部门、支行按风险管理部要求提交《信息系统维护申请表》《征信一起还款主要信息表》</w:t>
      </w:r>
      <w:r w:rsidRPr="0012325C">
        <w:rPr>
          <w:rFonts w:ascii="楷体" w:eastAsia="楷体" w:hAnsi="楷体" w:hint="eastAsia"/>
          <w:sz w:val="28"/>
          <w:szCs w:val="32"/>
        </w:rPr>
        <w:t>，由</w:t>
      </w:r>
      <w:r w:rsidR="002C7614" w:rsidRPr="0012325C">
        <w:rPr>
          <w:rFonts w:ascii="楷体" w:eastAsia="楷体" w:hAnsi="楷体" w:hint="eastAsia"/>
          <w:sz w:val="28"/>
          <w:szCs w:val="32"/>
        </w:rPr>
        <w:t>风险管理部</w:t>
      </w:r>
      <w:r w:rsidRPr="0012325C">
        <w:rPr>
          <w:rFonts w:ascii="楷体" w:eastAsia="楷体" w:hAnsi="楷体" w:hint="eastAsia"/>
          <w:sz w:val="28"/>
          <w:szCs w:val="32"/>
        </w:rPr>
        <w:t>审批和数据修改等操作。</w:t>
      </w:r>
    </w:p>
    <w:p w:rsidR="00DF4E6A" w:rsidRPr="0012325C" w:rsidRDefault="00DF4E6A" w:rsidP="0012325C">
      <w:pPr>
        <w:spacing w:line="560" w:lineRule="exact"/>
        <w:ind w:firstLineChars="200" w:firstLine="480"/>
        <w:jc w:val="left"/>
        <w:rPr>
          <w:rFonts w:asciiTheme="minorEastAsia" w:hAnsiTheme="minorEastAsia" w:hint="eastAsia"/>
          <w:sz w:val="24"/>
          <w:szCs w:val="32"/>
        </w:rPr>
      </w:pPr>
      <w:r w:rsidRPr="0012325C">
        <w:rPr>
          <w:rFonts w:asciiTheme="minorEastAsia" w:hAnsiTheme="minorEastAsia" w:hint="eastAsia"/>
          <w:sz w:val="24"/>
          <w:szCs w:val="32"/>
        </w:rPr>
        <w:t>（二）落实首贷客户扩面检信用贷款增量：加大首贷客户支持力度，确保小微企业贷款户中我行首贷户数量、占比高于上年，适当提升普惠小微企业贷款余额中信用贷余额、占比。</w:t>
      </w:r>
    </w:p>
    <w:p w:rsidR="00DF4E6A" w:rsidRPr="0012325C" w:rsidRDefault="00DF4E6A" w:rsidP="0012325C">
      <w:pPr>
        <w:spacing w:line="560" w:lineRule="exact"/>
        <w:ind w:firstLineChars="200" w:firstLine="480"/>
        <w:jc w:val="left"/>
        <w:rPr>
          <w:rFonts w:asciiTheme="minorEastAsia" w:hAnsiTheme="minorEastAsia" w:hint="eastAsia"/>
          <w:sz w:val="24"/>
          <w:szCs w:val="32"/>
        </w:rPr>
      </w:pPr>
      <w:r w:rsidRPr="0012325C">
        <w:rPr>
          <w:rFonts w:asciiTheme="minorEastAsia" w:hAnsiTheme="minorEastAsia" w:hint="eastAsia"/>
          <w:sz w:val="24"/>
          <w:szCs w:val="32"/>
        </w:rPr>
        <w:t>（三）</w:t>
      </w:r>
      <w:r w:rsidR="002C7614" w:rsidRPr="0012325C">
        <w:rPr>
          <w:rFonts w:asciiTheme="minorEastAsia" w:hAnsiTheme="minorEastAsia" w:hint="eastAsia"/>
          <w:sz w:val="24"/>
          <w:szCs w:val="32"/>
        </w:rPr>
        <w:t>严格执行监管部门对小微企业服务收费及授信业务增信环节减负的各项减免政策，按要求做到应降尽降，应免尽免，并加大对服务价格执行的检查力度，规范我行服务收费行为。</w:t>
      </w:r>
    </w:p>
    <w:p w:rsidR="002C7614" w:rsidRPr="0012325C" w:rsidRDefault="002C7614" w:rsidP="0012325C">
      <w:pPr>
        <w:spacing w:line="560" w:lineRule="exact"/>
        <w:ind w:firstLineChars="200" w:firstLine="482"/>
        <w:jc w:val="left"/>
        <w:rPr>
          <w:rFonts w:asciiTheme="minorEastAsia" w:hAnsiTheme="minorEastAsia"/>
          <w:b/>
          <w:sz w:val="24"/>
          <w:szCs w:val="32"/>
        </w:rPr>
      </w:pPr>
      <w:r w:rsidRPr="0012325C">
        <w:rPr>
          <w:rFonts w:asciiTheme="minorEastAsia" w:hAnsiTheme="minorEastAsia" w:hint="eastAsia"/>
          <w:b/>
          <w:sz w:val="24"/>
          <w:szCs w:val="32"/>
        </w:rPr>
        <w:t>三、强化对关键领域金融支持</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（四）聚焦科创领域企业金融服务。</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全面梳理津南区科技型、科创型企业名录信息，加大担保公司合作力度，尝试推广知识产权、专利权等新型抵质押融资业务。</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（五） 践行为民理念，做好民生服务保障。</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充分运用个人创业担保贷款，向具备创业基础条件并具有切实可行经营项目的创业人员提供贷款支持，提高业务办理效率，优先为符合条件的新市民办理创业担保贷款，使其尽快获得创业资金，增强新市民创业就业能力。</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（六）聚焦乡村振兴，加大涉农领域信贷支持力度。</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加强农村金融服务，做好农业企业走访营销，积极对接农委等政府部门，获取《市级农业龙头企业名单》或其他重点农业企业名单，逐村逐企了解金融服务需求，积极推广信贷、存款、结算等金融服务。</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（七） 做好绿色金融转型发展。</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优先支持津南区打造绿色金融发展，积极对接相关政府部门，服务我区光伏、</w:t>
      </w:r>
      <w:r w:rsidRPr="0012325C">
        <w:rPr>
          <w:rFonts w:asciiTheme="minorEastAsia" w:hAnsiTheme="minorEastAsia" w:hint="eastAsia"/>
          <w:sz w:val="24"/>
          <w:szCs w:val="32"/>
        </w:rPr>
        <w:lastRenderedPageBreak/>
        <w:t>风电、煤炭清洁高效利用等绿色能源项目。</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（八）</w:t>
      </w:r>
      <w:r w:rsidRPr="0012325C">
        <w:rPr>
          <w:rFonts w:asciiTheme="minorEastAsia" w:hAnsiTheme="minorEastAsia" w:hint="eastAsia"/>
          <w:sz w:val="18"/>
        </w:rPr>
        <w:t xml:space="preserve"> </w:t>
      </w:r>
      <w:r w:rsidRPr="0012325C">
        <w:rPr>
          <w:rFonts w:asciiTheme="minorEastAsia" w:hAnsiTheme="minorEastAsia" w:hint="eastAsia"/>
          <w:sz w:val="24"/>
          <w:szCs w:val="32"/>
        </w:rPr>
        <w:t>优化供给方向，积极支持制造业发展。</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重点聚焦津南区先进制造业、战略性新兴产业、制造业以等领域，进一步拓宽融资渠道，持续降低制造服务业企业的融资成本，加快创新符合制造服务业特点的金融产品和服务，有效精准对接制造服务业企业在实现高质量发展过程中的融资需求。</w:t>
      </w:r>
    </w:p>
    <w:p w:rsidR="002C7614" w:rsidRPr="0012325C" w:rsidRDefault="002C7614"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（九）强化物流保通保畅金融服务。</w:t>
      </w:r>
    </w:p>
    <w:p w:rsidR="00000000" w:rsidRPr="0012325C" w:rsidRDefault="002C7614" w:rsidP="0012325C">
      <w:pPr>
        <w:spacing w:line="560" w:lineRule="exact"/>
        <w:ind w:firstLine="200"/>
        <w:jc w:val="left"/>
        <w:rPr>
          <w:rFonts w:asciiTheme="minorEastAsia" w:hAnsiTheme="minorEastAsia" w:hint="eastAsia"/>
          <w:sz w:val="24"/>
          <w:szCs w:val="32"/>
        </w:rPr>
      </w:pPr>
      <w:r w:rsidRPr="0012325C">
        <w:rPr>
          <w:rFonts w:asciiTheme="minorEastAsia" w:hAnsiTheme="minorEastAsia" w:hint="eastAsia"/>
          <w:sz w:val="24"/>
          <w:szCs w:val="32"/>
        </w:rPr>
        <w:t>积极对接政府部门，建立物流企业信息共享机制，加大对名单企业政策宣传力度，在授信额度、利率定价等方面给予优惠并开辟绿色通道。</w:t>
      </w:r>
    </w:p>
    <w:p w:rsidR="0012325C" w:rsidRPr="0012325C" w:rsidRDefault="0012325C" w:rsidP="0012325C">
      <w:pPr>
        <w:spacing w:line="560" w:lineRule="exact"/>
        <w:ind w:firstLineChars="200" w:firstLine="482"/>
        <w:jc w:val="left"/>
        <w:rPr>
          <w:rFonts w:asciiTheme="minorEastAsia" w:hAnsiTheme="minorEastAsia"/>
          <w:b/>
          <w:sz w:val="24"/>
          <w:szCs w:val="32"/>
        </w:rPr>
      </w:pPr>
      <w:r w:rsidRPr="0012325C">
        <w:rPr>
          <w:rFonts w:asciiTheme="minorEastAsia" w:hAnsiTheme="minorEastAsia" w:hint="eastAsia"/>
          <w:b/>
          <w:sz w:val="24"/>
          <w:szCs w:val="32"/>
        </w:rPr>
        <w:t>四、构建长效机制，推动金融服务取得成效</w:t>
      </w:r>
    </w:p>
    <w:p w:rsidR="0012325C" w:rsidRPr="0012325C" w:rsidRDefault="0012325C" w:rsidP="0012325C">
      <w:pPr>
        <w:spacing w:line="560" w:lineRule="exact"/>
        <w:ind w:firstLineChars="200" w:firstLine="480"/>
        <w:jc w:val="left"/>
        <w:rPr>
          <w:rFonts w:asciiTheme="minorEastAsia" w:hAnsiTheme="minorEastAsia"/>
          <w:sz w:val="24"/>
          <w:szCs w:val="32"/>
        </w:rPr>
      </w:pPr>
      <w:r w:rsidRPr="0012325C">
        <w:rPr>
          <w:rFonts w:asciiTheme="minorEastAsia" w:hAnsiTheme="minorEastAsia" w:hint="eastAsia"/>
          <w:sz w:val="24"/>
          <w:szCs w:val="32"/>
        </w:rPr>
        <w:t>（十）建立健全金融服务小微企业敢贷愿贷能贷会贷长效机制。</w:t>
      </w:r>
    </w:p>
    <w:p w:rsidR="0012325C" w:rsidRPr="0012325C" w:rsidRDefault="0012325C" w:rsidP="0012325C">
      <w:pPr>
        <w:spacing w:line="560" w:lineRule="exact"/>
        <w:ind w:firstLineChars="200" w:firstLine="480"/>
        <w:jc w:val="left"/>
        <w:rPr>
          <w:rFonts w:asciiTheme="minorEastAsia" w:hAnsiTheme="minorEastAsia" w:hint="eastAsia"/>
          <w:sz w:val="24"/>
          <w:szCs w:val="32"/>
        </w:rPr>
      </w:pPr>
      <w:r w:rsidRPr="0012325C">
        <w:rPr>
          <w:rFonts w:asciiTheme="minorEastAsia" w:hAnsiTheme="minorEastAsia" w:hint="eastAsia"/>
          <w:sz w:val="24"/>
          <w:szCs w:val="32"/>
        </w:rPr>
        <w:t>制定普惠小微企业、涉农、民营等尽职免责实施细则，明确尽职基本要求及可量化的评价标准，建立简便易行的尽职评议工作流程，提高尽职免责认定程序效率，增强敢贷信心；提高小微企业、涉农、民营企业不良容忍度，对其不良率低于监管所明确不良容忍度控制标准的机构，可减轻内部考核评分，不予经济处罚。</w:t>
      </w:r>
    </w:p>
    <w:p w:rsidR="0012325C" w:rsidRPr="0012325C" w:rsidRDefault="0012325C" w:rsidP="0012325C">
      <w:pPr>
        <w:spacing w:line="560" w:lineRule="exact"/>
        <w:ind w:firstLineChars="200" w:firstLine="480"/>
        <w:jc w:val="left"/>
        <w:rPr>
          <w:rFonts w:asciiTheme="minorEastAsia" w:hAnsiTheme="minorEastAsia" w:hint="eastAsia"/>
          <w:sz w:val="24"/>
          <w:szCs w:val="32"/>
        </w:rPr>
      </w:pPr>
      <w:r w:rsidRPr="0012325C">
        <w:rPr>
          <w:rFonts w:asciiTheme="minorEastAsia" w:hAnsiTheme="minorEastAsia" w:hint="eastAsia"/>
          <w:sz w:val="24"/>
          <w:szCs w:val="32"/>
        </w:rPr>
        <w:t>（十一）确保疫情期间金融服务“不断档”。</w:t>
      </w:r>
    </w:p>
    <w:p w:rsidR="0012325C" w:rsidRPr="0012325C" w:rsidRDefault="0012325C" w:rsidP="0012325C">
      <w:pPr>
        <w:spacing w:line="560" w:lineRule="exact"/>
        <w:ind w:firstLineChars="200" w:firstLine="480"/>
        <w:jc w:val="left"/>
        <w:rPr>
          <w:rFonts w:asciiTheme="minorEastAsia" w:hAnsiTheme="minorEastAsia" w:hint="eastAsia"/>
          <w:sz w:val="24"/>
          <w:szCs w:val="32"/>
        </w:rPr>
      </w:pPr>
      <w:r w:rsidRPr="0012325C">
        <w:rPr>
          <w:rFonts w:asciiTheme="minorEastAsia" w:hAnsiTheme="minorEastAsia" w:hint="eastAsia"/>
          <w:sz w:val="24"/>
          <w:szCs w:val="32"/>
        </w:rPr>
        <w:t>构建营业网点开门统筹调度机制，及时掌握全辖网点运营情况和人员健康状况，结合津南区疫情防控要求，分层动态调度和部署次日线下渠道运营安排，减少交叉感染风险，确保基础金融服务“不打烊”、“不断流”；制定常态化疫情防控金融服务预案，通过灵活调整业务流程、开通业务办理绿色通道、优化资料传递方式、拓宽电子传输渠道、重点领域客户信贷业务的审查前移等措施，确保对受疫情影响客户服务不断档。</w:t>
      </w:r>
    </w:p>
    <w:sectPr w:rsidR="0012325C" w:rsidRPr="0012325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D6801" w:rsidRDefault="00ED6801" w:rsidP="00DF4E6A">
      <w:r>
        <w:separator/>
      </w:r>
    </w:p>
  </w:endnote>
  <w:endnote w:type="continuationSeparator" w:id="1">
    <w:p w:rsidR="00ED6801" w:rsidRDefault="00ED6801" w:rsidP="00DF4E6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D6801" w:rsidRDefault="00ED6801" w:rsidP="00DF4E6A">
      <w:r>
        <w:separator/>
      </w:r>
    </w:p>
  </w:footnote>
  <w:footnote w:type="continuationSeparator" w:id="1">
    <w:p w:rsidR="00ED6801" w:rsidRDefault="00ED6801" w:rsidP="00DF4E6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F4E6A"/>
    <w:rsid w:val="0012325C"/>
    <w:rsid w:val="002C7614"/>
    <w:rsid w:val="00DF4E6A"/>
    <w:rsid w:val="00ED68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F4E6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F4E6A"/>
    <w:rPr>
      <w:sz w:val="18"/>
      <w:szCs w:val="18"/>
    </w:rPr>
  </w:style>
  <w:style w:type="paragraph" w:styleId="a4">
    <w:name w:val="footer"/>
    <w:basedOn w:val="a"/>
    <w:link w:val="Char0"/>
    <w:uiPriority w:val="99"/>
    <w:semiHidden/>
    <w:unhideWhenUsed/>
    <w:rsid w:val="00DF4E6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F4E6A"/>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3</Pages>
  <Words>292</Words>
  <Characters>1670</Characters>
  <Application>Microsoft Office Word</Application>
  <DocSecurity>0</DocSecurity>
  <Lines>13</Lines>
  <Paragraphs>3</Paragraphs>
  <ScaleCrop>false</ScaleCrop>
  <Company/>
  <LinksUpToDate>false</LinksUpToDate>
  <CharactersWithSpaces>1959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2022-06-14T06:44:00Z</dcterms:created>
  <dcterms:modified xsi:type="dcterms:W3CDTF">2022-06-14T07:17:00Z</dcterms:modified>
</cp:coreProperties>
</file>